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DE69" w14:textId="5AFD499F" w:rsidR="00627248" w:rsidRPr="00FF5439" w:rsidRDefault="00627248" w:rsidP="00627248">
      <w:pPr>
        <w:jc w:val="center"/>
        <w:rPr>
          <w:rFonts w:ascii="Arial" w:eastAsia="Times New Roman" w:hAnsi="Arial" w:cs="Arial"/>
          <w:b/>
          <w:bCs/>
          <w:color w:val="2E2E38"/>
          <w:sz w:val="20"/>
          <w:szCs w:val="20"/>
          <w:lang w:val="en-US"/>
        </w:rPr>
      </w:pPr>
      <w:r w:rsidRPr="00FF5439">
        <w:rPr>
          <w:rFonts w:ascii="Arial" w:eastAsia="Times New Roman" w:hAnsi="Arial" w:cs="Arial"/>
          <w:b/>
          <w:bCs/>
          <w:color w:val="2E2E38"/>
          <w:sz w:val="20"/>
          <w:szCs w:val="20"/>
          <w:lang w:val="en-US"/>
        </w:rPr>
        <w:t>Voice of the Customer</w:t>
      </w:r>
    </w:p>
    <w:p w14:paraId="26D511A0" w14:textId="77777777" w:rsidR="00627248" w:rsidRDefault="00627248" w:rsidP="00627248">
      <w:pPr>
        <w:rPr>
          <w:rFonts w:ascii="Arial" w:eastAsia="Times New Roman" w:hAnsi="Arial" w:cs="Arial"/>
          <w:color w:val="2E2E38"/>
          <w:sz w:val="20"/>
          <w:szCs w:val="20"/>
          <w:lang w:val="en-US"/>
        </w:rPr>
      </w:pPr>
      <w:r w:rsidRPr="00396C1E">
        <w:rPr>
          <w:rFonts w:ascii="Arial" w:eastAsia="Times New Roman" w:hAnsi="Arial" w:cs="Arial"/>
          <w:color w:val="2E2E38"/>
          <w:sz w:val="20"/>
          <w:szCs w:val="20"/>
          <w:lang w:val="en-US"/>
        </w:rPr>
        <w:t>The company regularly conducts Voice of the Customer (VOC) research, which allows us to assess customer satisfaction and collect their feedback on the Bank's work. The average VOC customer rating for 2024 was 4.75 out of a possible 5 points, for the retail customer block 4.74, for the legal entities and individual entrepreneurs block 4.77</w:t>
      </w:r>
      <w:r>
        <w:rPr>
          <w:rFonts w:ascii="Arial" w:eastAsia="Times New Roman" w:hAnsi="Arial" w:cs="Arial"/>
          <w:color w:val="2E2E38"/>
          <w:sz w:val="20"/>
          <w:szCs w:val="20"/>
          <w:lang w:val="en-US"/>
        </w:rPr>
        <w:t>.</w:t>
      </w:r>
    </w:p>
    <w:p w14:paraId="5711FBDE" w14:textId="481831C8" w:rsidR="00627248" w:rsidRPr="00396C1E" w:rsidRDefault="00627248" w:rsidP="00627248">
      <w:pPr>
        <w:rPr>
          <w:rFonts w:ascii="Arial" w:eastAsia="Times New Roman" w:hAnsi="Arial" w:cs="Arial"/>
          <w:color w:val="2E2E38"/>
          <w:sz w:val="20"/>
          <w:szCs w:val="20"/>
          <w:lang w:val="en-US"/>
        </w:rPr>
      </w:pPr>
    </w:p>
    <w:tbl>
      <w:tblPr>
        <w:tblW w:w="8400" w:type="dxa"/>
        <w:tblInd w:w="-3" w:type="dxa"/>
        <w:tblCellMar>
          <w:left w:w="0" w:type="dxa"/>
          <w:right w:w="0" w:type="dxa"/>
        </w:tblCellMar>
        <w:tblLook w:val="04A0" w:firstRow="1" w:lastRow="0" w:firstColumn="1" w:lastColumn="0" w:noHBand="0" w:noVBand="1"/>
      </w:tblPr>
      <w:tblGrid>
        <w:gridCol w:w="2180"/>
        <w:gridCol w:w="2160"/>
        <w:gridCol w:w="1900"/>
        <w:gridCol w:w="2160"/>
      </w:tblGrid>
      <w:tr w:rsidR="00627248" w14:paraId="55747809" w14:textId="77777777" w:rsidTr="00520D5A">
        <w:trPr>
          <w:trHeight w:val="750"/>
        </w:trPr>
        <w:tc>
          <w:tcPr>
            <w:tcW w:w="2180" w:type="dxa"/>
            <w:tcBorders>
              <w:top w:val="single" w:sz="8" w:space="0" w:color="auto"/>
              <w:left w:val="single" w:sz="8" w:space="0" w:color="auto"/>
              <w:bottom w:val="single" w:sz="8" w:space="0" w:color="auto"/>
              <w:right w:val="single" w:sz="8" w:space="0" w:color="auto"/>
            </w:tcBorders>
            <w:shd w:val="clear" w:color="auto" w:fill="E2EFDA"/>
            <w:tcMar>
              <w:top w:w="15" w:type="dxa"/>
              <w:left w:w="108" w:type="dxa"/>
              <w:bottom w:w="15" w:type="dxa"/>
              <w:right w:w="108" w:type="dxa"/>
            </w:tcMar>
            <w:vAlign w:val="bottom"/>
            <w:hideMark/>
          </w:tcPr>
          <w:p w14:paraId="67F85E32" w14:textId="77777777" w:rsidR="00627248" w:rsidRPr="00396C1E" w:rsidRDefault="00627248" w:rsidP="00520D5A">
            <w:pPr>
              <w:rPr>
                <w:lang w:val="en-US"/>
              </w:rPr>
            </w:pPr>
          </w:p>
        </w:tc>
        <w:tc>
          <w:tcPr>
            <w:tcW w:w="2160" w:type="dxa"/>
            <w:tcBorders>
              <w:top w:val="single" w:sz="8" w:space="0" w:color="auto"/>
              <w:left w:val="nil"/>
              <w:bottom w:val="single" w:sz="8" w:space="0" w:color="auto"/>
              <w:right w:val="single" w:sz="8" w:space="0" w:color="auto"/>
            </w:tcBorders>
            <w:shd w:val="clear" w:color="auto" w:fill="E2EFDA"/>
            <w:tcMar>
              <w:top w:w="15" w:type="dxa"/>
              <w:left w:w="108" w:type="dxa"/>
              <w:bottom w:w="15" w:type="dxa"/>
              <w:right w:w="108" w:type="dxa"/>
            </w:tcMar>
            <w:vAlign w:val="center"/>
            <w:hideMark/>
          </w:tcPr>
          <w:p w14:paraId="3E42893E" w14:textId="77777777" w:rsidR="00627248" w:rsidRDefault="00627248" w:rsidP="00520D5A">
            <w:pPr>
              <w:jc w:val="center"/>
              <w:rPr>
                <w:b/>
                <w:bCs/>
                <w:color w:val="000000"/>
                <w:sz w:val="28"/>
                <w:szCs w:val="28"/>
              </w:rPr>
            </w:pPr>
            <w:r>
              <w:rPr>
                <w:b/>
                <w:bCs/>
                <w:color w:val="000000"/>
                <w:sz w:val="28"/>
                <w:szCs w:val="28"/>
              </w:rPr>
              <w:t>2023</w:t>
            </w:r>
          </w:p>
        </w:tc>
        <w:tc>
          <w:tcPr>
            <w:tcW w:w="1900" w:type="dxa"/>
            <w:tcBorders>
              <w:top w:val="single" w:sz="8" w:space="0" w:color="auto"/>
              <w:left w:val="nil"/>
              <w:bottom w:val="single" w:sz="8" w:space="0" w:color="auto"/>
              <w:right w:val="single" w:sz="8" w:space="0" w:color="auto"/>
            </w:tcBorders>
            <w:shd w:val="clear" w:color="auto" w:fill="E2EFDA"/>
            <w:tcMar>
              <w:top w:w="15" w:type="dxa"/>
              <w:left w:w="108" w:type="dxa"/>
              <w:bottom w:w="15" w:type="dxa"/>
              <w:right w:w="108" w:type="dxa"/>
            </w:tcMar>
            <w:vAlign w:val="center"/>
            <w:hideMark/>
          </w:tcPr>
          <w:p w14:paraId="1997EAA4" w14:textId="77777777" w:rsidR="00627248" w:rsidRDefault="00627248" w:rsidP="00520D5A">
            <w:pPr>
              <w:jc w:val="center"/>
              <w:rPr>
                <w:b/>
                <w:bCs/>
                <w:color w:val="000000"/>
                <w:sz w:val="28"/>
                <w:szCs w:val="28"/>
              </w:rPr>
            </w:pPr>
            <w:r>
              <w:rPr>
                <w:b/>
                <w:bCs/>
                <w:color w:val="000000"/>
                <w:sz w:val="28"/>
                <w:szCs w:val="28"/>
              </w:rPr>
              <w:t>2024</w:t>
            </w:r>
          </w:p>
        </w:tc>
        <w:tc>
          <w:tcPr>
            <w:tcW w:w="2160" w:type="dxa"/>
            <w:tcBorders>
              <w:top w:val="single" w:sz="8" w:space="0" w:color="auto"/>
              <w:left w:val="nil"/>
              <w:bottom w:val="single" w:sz="8" w:space="0" w:color="auto"/>
              <w:right w:val="single" w:sz="8" w:space="0" w:color="auto"/>
            </w:tcBorders>
            <w:shd w:val="clear" w:color="auto" w:fill="E2EFDA"/>
            <w:tcMar>
              <w:top w:w="15" w:type="dxa"/>
              <w:left w:w="108" w:type="dxa"/>
              <w:bottom w:w="15" w:type="dxa"/>
              <w:right w:w="108" w:type="dxa"/>
            </w:tcMar>
            <w:vAlign w:val="center"/>
            <w:hideMark/>
          </w:tcPr>
          <w:p w14:paraId="74114441" w14:textId="6551E7D7" w:rsidR="00627248" w:rsidRPr="00396C1E" w:rsidRDefault="00627248" w:rsidP="00520D5A">
            <w:pPr>
              <w:jc w:val="center"/>
              <w:rPr>
                <w:b/>
                <w:bCs/>
                <w:color w:val="000000"/>
                <w:sz w:val="28"/>
                <w:szCs w:val="28"/>
              </w:rPr>
            </w:pPr>
            <w:r>
              <w:rPr>
                <w:b/>
                <w:bCs/>
                <w:color w:val="000000"/>
                <w:sz w:val="28"/>
                <w:szCs w:val="28"/>
              </w:rPr>
              <w:t>2025</w:t>
            </w:r>
            <w:r>
              <w:rPr>
                <w:b/>
                <w:bCs/>
                <w:color w:val="000000"/>
                <w:sz w:val="28"/>
                <w:szCs w:val="28"/>
                <w:lang w:val="en-US"/>
              </w:rPr>
              <w:t xml:space="preserve"> (</w:t>
            </w:r>
            <w:proofErr w:type="spellStart"/>
            <w:r w:rsidR="00FF5439">
              <w:rPr>
                <w:b/>
                <w:bCs/>
                <w:color w:val="000000"/>
                <w:sz w:val="28"/>
                <w:szCs w:val="28"/>
                <w:lang w:val="en-US"/>
              </w:rPr>
              <w:t>june</w:t>
            </w:r>
            <w:proofErr w:type="spellEnd"/>
            <w:r>
              <w:rPr>
                <w:b/>
                <w:bCs/>
                <w:color w:val="000000"/>
                <w:sz w:val="28"/>
                <w:szCs w:val="28"/>
              </w:rPr>
              <w:t>)</w:t>
            </w:r>
          </w:p>
        </w:tc>
      </w:tr>
      <w:tr w:rsidR="00627248" w14:paraId="4DC3033F" w14:textId="77777777" w:rsidTr="00520D5A">
        <w:trPr>
          <w:trHeight w:val="300"/>
        </w:trPr>
        <w:tc>
          <w:tcPr>
            <w:tcW w:w="2180" w:type="dxa"/>
            <w:tcBorders>
              <w:top w:val="nil"/>
              <w:left w:val="single" w:sz="8" w:space="0" w:color="auto"/>
              <w:bottom w:val="single" w:sz="8" w:space="0" w:color="auto"/>
              <w:right w:val="single" w:sz="8" w:space="0" w:color="auto"/>
            </w:tcBorders>
            <w:shd w:val="clear" w:color="auto" w:fill="D9D9D9"/>
            <w:noWrap/>
            <w:tcMar>
              <w:top w:w="15" w:type="dxa"/>
              <w:left w:w="108" w:type="dxa"/>
              <w:bottom w:w="15" w:type="dxa"/>
              <w:right w:w="108" w:type="dxa"/>
            </w:tcMar>
            <w:vAlign w:val="bottom"/>
            <w:hideMark/>
          </w:tcPr>
          <w:p w14:paraId="702DC603" w14:textId="28CA331C" w:rsidR="00627248" w:rsidRPr="00FF5439" w:rsidRDefault="00627248" w:rsidP="00520D5A">
            <w:pPr>
              <w:rPr>
                <w:b/>
                <w:bCs/>
                <w:color w:val="000000"/>
              </w:rPr>
            </w:pPr>
            <w:r w:rsidRPr="00396C1E">
              <w:rPr>
                <w:b/>
                <w:bCs/>
                <w:color w:val="000000"/>
              </w:rPr>
              <w:t>VOC</w:t>
            </w:r>
            <w:r w:rsidR="00FF5439">
              <w:rPr>
                <w:b/>
                <w:bCs/>
                <w:color w:val="000000"/>
                <w:lang w:val="en-US"/>
              </w:rPr>
              <w:t xml:space="preserve"> score</w:t>
            </w:r>
          </w:p>
        </w:tc>
        <w:tc>
          <w:tcPr>
            <w:tcW w:w="216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27124BA4" w14:textId="77777777" w:rsidR="00627248" w:rsidRDefault="00627248" w:rsidP="00520D5A">
            <w:pPr>
              <w:jc w:val="center"/>
              <w:rPr>
                <w:b/>
                <w:bCs/>
                <w:color w:val="000000"/>
              </w:rPr>
            </w:pPr>
            <w:r>
              <w:rPr>
                <w:b/>
                <w:bCs/>
                <w:color w:val="000000"/>
              </w:rPr>
              <w:t>4.83</w:t>
            </w:r>
          </w:p>
        </w:tc>
        <w:tc>
          <w:tcPr>
            <w:tcW w:w="190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03EC9172" w14:textId="77777777" w:rsidR="00627248" w:rsidRDefault="00627248" w:rsidP="00520D5A">
            <w:pPr>
              <w:jc w:val="center"/>
              <w:rPr>
                <w:b/>
                <w:bCs/>
                <w:color w:val="000000"/>
              </w:rPr>
            </w:pPr>
            <w:r>
              <w:rPr>
                <w:b/>
                <w:bCs/>
                <w:color w:val="000000"/>
              </w:rPr>
              <w:t>4.74</w:t>
            </w:r>
          </w:p>
        </w:tc>
        <w:tc>
          <w:tcPr>
            <w:tcW w:w="216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2594851A" w14:textId="77777777" w:rsidR="00627248" w:rsidRDefault="00627248" w:rsidP="00520D5A">
            <w:pPr>
              <w:jc w:val="center"/>
              <w:rPr>
                <w:b/>
                <w:bCs/>
                <w:color w:val="000000"/>
              </w:rPr>
            </w:pPr>
            <w:r>
              <w:rPr>
                <w:b/>
                <w:bCs/>
                <w:color w:val="000000"/>
              </w:rPr>
              <w:t>4.78</w:t>
            </w:r>
          </w:p>
        </w:tc>
      </w:tr>
      <w:tr w:rsidR="00627248" w14:paraId="00042ADF" w14:textId="77777777" w:rsidTr="00520D5A">
        <w:trPr>
          <w:trHeight w:val="300"/>
        </w:trPr>
        <w:tc>
          <w:tcPr>
            <w:tcW w:w="218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D6068B2" w14:textId="68CBB9F6" w:rsidR="00627248" w:rsidRDefault="00FF5439" w:rsidP="00520D5A">
            <w:pPr>
              <w:jc w:val="center"/>
              <w:rPr>
                <w:color w:val="000000"/>
              </w:rPr>
            </w:pPr>
            <w:r>
              <w:rPr>
                <w:color w:val="000000"/>
                <w:lang w:val="en-US"/>
              </w:rPr>
              <w:t>R</w:t>
            </w:r>
            <w:proofErr w:type="spellStart"/>
            <w:r w:rsidRPr="00FF5439">
              <w:rPr>
                <w:color w:val="000000"/>
              </w:rPr>
              <w:t>etail</w:t>
            </w:r>
            <w:proofErr w:type="spellEnd"/>
            <w:r w:rsidRPr="00FF5439">
              <w:rPr>
                <w:color w:val="000000"/>
              </w:rPr>
              <w:t xml:space="preserve"> </w:t>
            </w:r>
            <w:proofErr w:type="spellStart"/>
            <w:r w:rsidRPr="00FF5439">
              <w:rPr>
                <w:color w:val="000000"/>
              </w:rPr>
              <w:t>business</w:t>
            </w:r>
            <w:proofErr w:type="spellEnd"/>
          </w:p>
        </w:tc>
        <w:tc>
          <w:tcPr>
            <w:tcW w:w="216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69D4238" w14:textId="77777777" w:rsidR="00627248" w:rsidRDefault="00627248" w:rsidP="00520D5A">
            <w:pPr>
              <w:jc w:val="center"/>
              <w:rPr>
                <w:color w:val="000000"/>
              </w:rPr>
            </w:pPr>
            <w:r>
              <w:rPr>
                <w:color w:val="000000"/>
              </w:rPr>
              <w:t>4.82</w:t>
            </w:r>
          </w:p>
        </w:tc>
        <w:tc>
          <w:tcPr>
            <w:tcW w:w="190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A0211BE" w14:textId="77777777" w:rsidR="00627248" w:rsidRDefault="00627248" w:rsidP="00520D5A">
            <w:pPr>
              <w:jc w:val="center"/>
              <w:rPr>
                <w:color w:val="000000"/>
              </w:rPr>
            </w:pPr>
            <w:r>
              <w:rPr>
                <w:color w:val="000000"/>
              </w:rPr>
              <w:t>4.73</w:t>
            </w:r>
          </w:p>
        </w:tc>
        <w:tc>
          <w:tcPr>
            <w:tcW w:w="216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C6F9718" w14:textId="77777777" w:rsidR="00627248" w:rsidRDefault="00627248" w:rsidP="00520D5A">
            <w:pPr>
              <w:jc w:val="center"/>
              <w:rPr>
                <w:color w:val="000000"/>
              </w:rPr>
            </w:pPr>
            <w:r>
              <w:rPr>
                <w:color w:val="000000"/>
              </w:rPr>
              <w:t>4.78</w:t>
            </w:r>
          </w:p>
        </w:tc>
      </w:tr>
      <w:tr w:rsidR="00627248" w14:paraId="506E4A7B" w14:textId="77777777" w:rsidTr="00520D5A">
        <w:trPr>
          <w:trHeight w:val="300"/>
        </w:trPr>
        <w:tc>
          <w:tcPr>
            <w:tcW w:w="218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AED5480" w14:textId="0572CDAA" w:rsidR="00627248" w:rsidRDefault="00FF5439" w:rsidP="00520D5A">
            <w:pPr>
              <w:jc w:val="center"/>
              <w:rPr>
                <w:color w:val="000000"/>
              </w:rPr>
            </w:pPr>
            <w:r w:rsidRPr="00FF5439">
              <w:rPr>
                <w:color w:val="000000"/>
              </w:rPr>
              <w:t>SME</w:t>
            </w:r>
          </w:p>
        </w:tc>
        <w:tc>
          <w:tcPr>
            <w:tcW w:w="216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DCF81C7" w14:textId="77777777" w:rsidR="00627248" w:rsidRDefault="00627248" w:rsidP="00520D5A">
            <w:pPr>
              <w:jc w:val="center"/>
              <w:rPr>
                <w:color w:val="000000"/>
              </w:rPr>
            </w:pPr>
            <w:r>
              <w:rPr>
                <w:color w:val="000000"/>
              </w:rPr>
              <w:t>4.84</w:t>
            </w:r>
          </w:p>
        </w:tc>
        <w:tc>
          <w:tcPr>
            <w:tcW w:w="190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CB2775F" w14:textId="77777777" w:rsidR="00627248" w:rsidRDefault="00627248" w:rsidP="00520D5A">
            <w:pPr>
              <w:jc w:val="center"/>
              <w:rPr>
                <w:color w:val="000000"/>
              </w:rPr>
            </w:pPr>
            <w:r>
              <w:rPr>
                <w:color w:val="000000"/>
              </w:rPr>
              <w:t>4.76</w:t>
            </w:r>
          </w:p>
        </w:tc>
        <w:tc>
          <w:tcPr>
            <w:tcW w:w="216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59A6DAC" w14:textId="77777777" w:rsidR="00627248" w:rsidRDefault="00627248" w:rsidP="00520D5A">
            <w:pPr>
              <w:jc w:val="center"/>
              <w:rPr>
                <w:color w:val="000000"/>
              </w:rPr>
            </w:pPr>
            <w:r>
              <w:rPr>
                <w:color w:val="000000"/>
              </w:rPr>
              <w:t>4.73</w:t>
            </w:r>
          </w:p>
        </w:tc>
      </w:tr>
      <w:tr w:rsidR="00627248" w14:paraId="1263D46C" w14:textId="77777777" w:rsidTr="00520D5A">
        <w:trPr>
          <w:trHeight w:val="300"/>
        </w:trPr>
        <w:tc>
          <w:tcPr>
            <w:tcW w:w="2180" w:type="dxa"/>
            <w:tcBorders>
              <w:top w:val="nil"/>
              <w:left w:val="single" w:sz="8" w:space="0" w:color="auto"/>
              <w:bottom w:val="single" w:sz="8" w:space="0" w:color="auto"/>
              <w:right w:val="single" w:sz="8" w:space="0" w:color="auto"/>
            </w:tcBorders>
            <w:shd w:val="clear" w:color="auto" w:fill="D9D9D9"/>
            <w:noWrap/>
            <w:tcMar>
              <w:top w:w="15" w:type="dxa"/>
              <w:left w:w="108" w:type="dxa"/>
              <w:bottom w:w="15" w:type="dxa"/>
              <w:right w:w="108" w:type="dxa"/>
            </w:tcMar>
            <w:vAlign w:val="bottom"/>
            <w:hideMark/>
          </w:tcPr>
          <w:p w14:paraId="322C3936" w14:textId="45C305A0" w:rsidR="00627248" w:rsidRDefault="00FF5439" w:rsidP="00520D5A">
            <w:pPr>
              <w:rPr>
                <w:b/>
                <w:bCs/>
                <w:color w:val="000000"/>
              </w:rPr>
            </w:pPr>
            <w:r w:rsidRPr="00FF5439">
              <w:rPr>
                <w:b/>
                <w:bCs/>
                <w:color w:val="000000"/>
              </w:rPr>
              <w:t xml:space="preserve">Number </w:t>
            </w:r>
            <w:proofErr w:type="spellStart"/>
            <w:r w:rsidRPr="00FF5439">
              <w:rPr>
                <w:b/>
                <w:bCs/>
                <w:color w:val="000000"/>
              </w:rPr>
              <w:t>of</w:t>
            </w:r>
            <w:proofErr w:type="spellEnd"/>
            <w:r w:rsidRPr="00FF5439">
              <w:rPr>
                <w:b/>
                <w:bCs/>
                <w:color w:val="000000"/>
              </w:rPr>
              <w:t xml:space="preserve"> </w:t>
            </w:r>
            <w:proofErr w:type="spellStart"/>
            <w:r w:rsidRPr="00FF5439">
              <w:rPr>
                <w:b/>
                <w:bCs/>
                <w:color w:val="000000"/>
              </w:rPr>
              <w:t>requests</w:t>
            </w:r>
            <w:proofErr w:type="spellEnd"/>
          </w:p>
        </w:tc>
        <w:tc>
          <w:tcPr>
            <w:tcW w:w="216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659B8F00" w14:textId="77777777" w:rsidR="00627248" w:rsidRDefault="00627248" w:rsidP="00520D5A">
            <w:pPr>
              <w:jc w:val="center"/>
              <w:rPr>
                <w:b/>
                <w:bCs/>
                <w:color w:val="000000"/>
              </w:rPr>
            </w:pPr>
            <w:r>
              <w:rPr>
                <w:b/>
                <w:bCs/>
                <w:color w:val="000000"/>
              </w:rPr>
              <w:t>4,936,865</w:t>
            </w:r>
          </w:p>
        </w:tc>
        <w:tc>
          <w:tcPr>
            <w:tcW w:w="190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1BC9F0A8" w14:textId="77777777" w:rsidR="00627248" w:rsidRDefault="00627248" w:rsidP="00520D5A">
            <w:pPr>
              <w:jc w:val="center"/>
              <w:rPr>
                <w:b/>
                <w:bCs/>
                <w:color w:val="000000"/>
              </w:rPr>
            </w:pPr>
            <w:r>
              <w:rPr>
                <w:b/>
                <w:bCs/>
                <w:color w:val="000000"/>
              </w:rPr>
              <w:t>11,229,962</w:t>
            </w:r>
          </w:p>
        </w:tc>
        <w:tc>
          <w:tcPr>
            <w:tcW w:w="216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2D2227F6" w14:textId="77777777" w:rsidR="00627248" w:rsidRDefault="00627248" w:rsidP="00520D5A">
            <w:pPr>
              <w:jc w:val="center"/>
              <w:rPr>
                <w:b/>
                <w:bCs/>
                <w:color w:val="000000"/>
              </w:rPr>
            </w:pPr>
            <w:r>
              <w:rPr>
                <w:b/>
                <w:bCs/>
                <w:color w:val="000000"/>
              </w:rPr>
              <w:t>2,849,758</w:t>
            </w:r>
          </w:p>
        </w:tc>
      </w:tr>
      <w:tr w:rsidR="00FF5439" w14:paraId="69793549" w14:textId="77777777" w:rsidTr="00520D5A">
        <w:trPr>
          <w:trHeight w:val="300"/>
        </w:trPr>
        <w:tc>
          <w:tcPr>
            <w:tcW w:w="218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AD8F4B9" w14:textId="3994ABFC" w:rsidR="00FF5439" w:rsidRDefault="00FF5439" w:rsidP="00FF5439">
            <w:pPr>
              <w:jc w:val="center"/>
              <w:rPr>
                <w:color w:val="000000"/>
              </w:rPr>
            </w:pPr>
            <w:r>
              <w:rPr>
                <w:color w:val="000000"/>
                <w:lang w:val="en-US"/>
              </w:rPr>
              <w:t>R</w:t>
            </w:r>
            <w:proofErr w:type="spellStart"/>
            <w:r w:rsidRPr="00FF5439">
              <w:rPr>
                <w:color w:val="000000"/>
              </w:rPr>
              <w:t>etail</w:t>
            </w:r>
            <w:proofErr w:type="spellEnd"/>
            <w:r w:rsidRPr="00FF5439">
              <w:rPr>
                <w:color w:val="000000"/>
              </w:rPr>
              <w:t xml:space="preserve"> </w:t>
            </w:r>
            <w:proofErr w:type="spellStart"/>
            <w:r w:rsidRPr="00FF5439">
              <w:rPr>
                <w:color w:val="000000"/>
              </w:rPr>
              <w:t>business</w:t>
            </w:r>
            <w:proofErr w:type="spellEnd"/>
          </w:p>
        </w:tc>
        <w:tc>
          <w:tcPr>
            <w:tcW w:w="216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0312D9C" w14:textId="77777777" w:rsidR="00FF5439" w:rsidRDefault="00FF5439" w:rsidP="00FF5439">
            <w:pPr>
              <w:jc w:val="center"/>
              <w:rPr>
                <w:color w:val="000000"/>
              </w:rPr>
            </w:pPr>
            <w:r>
              <w:rPr>
                <w:color w:val="000000"/>
              </w:rPr>
              <w:t>2,776,582</w:t>
            </w:r>
          </w:p>
        </w:tc>
        <w:tc>
          <w:tcPr>
            <w:tcW w:w="190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9AF6953" w14:textId="77777777" w:rsidR="00FF5439" w:rsidRDefault="00FF5439" w:rsidP="00FF5439">
            <w:pPr>
              <w:jc w:val="center"/>
              <w:rPr>
                <w:color w:val="000000"/>
              </w:rPr>
            </w:pPr>
            <w:r>
              <w:rPr>
                <w:color w:val="000000"/>
              </w:rPr>
              <w:t>8,521,588</w:t>
            </w:r>
          </w:p>
        </w:tc>
        <w:tc>
          <w:tcPr>
            <w:tcW w:w="216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9688312" w14:textId="77777777" w:rsidR="00FF5439" w:rsidRDefault="00FF5439" w:rsidP="00FF5439">
            <w:pPr>
              <w:jc w:val="center"/>
              <w:rPr>
                <w:color w:val="000000"/>
              </w:rPr>
            </w:pPr>
            <w:r>
              <w:rPr>
                <w:color w:val="000000"/>
              </w:rPr>
              <w:t>1,675,375</w:t>
            </w:r>
          </w:p>
        </w:tc>
      </w:tr>
      <w:tr w:rsidR="00FF5439" w14:paraId="3CE36872" w14:textId="77777777" w:rsidTr="00520D5A">
        <w:trPr>
          <w:trHeight w:val="300"/>
        </w:trPr>
        <w:tc>
          <w:tcPr>
            <w:tcW w:w="2180"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9FE1300" w14:textId="0CE2C95A" w:rsidR="00FF5439" w:rsidRDefault="00FF5439" w:rsidP="00FF5439">
            <w:pPr>
              <w:jc w:val="center"/>
              <w:rPr>
                <w:color w:val="000000"/>
              </w:rPr>
            </w:pPr>
            <w:r w:rsidRPr="00FF5439">
              <w:rPr>
                <w:color w:val="000000"/>
              </w:rPr>
              <w:t>SME</w:t>
            </w:r>
          </w:p>
        </w:tc>
        <w:tc>
          <w:tcPr>
            <w:tcW w:w="216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32BCCE7" w14:textId="77777777" w:rsidR="00FF5439" w:rsidRDefault="00FF5439" w:rsidP="00FF5439">
            <w:pPr>
              <w:jc w:val="center"/>
              <w:rPr>
                <w:color w:val="000000"/>
              </w:rPr>
            </w:pPr>
            <w:r>
              <w:rPr>
                <w:color w:val="000000"/>
              </w:rPr>
              <w:t>2,160,283</w:t>
            </w:r>
          </w:p>
        </w:tc>
        <w:tc>
          <w:tcPr>
            <w:tcW w:w="190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26094F4" w14:textId="77777777" w:rsidR="00FF5439" w:rsidRDefault="00FF5439" w:rsidP="00FF5439">
            <w:pPr>
              <w:jc w:val="center"/>
              <w:rPr>
                <w:color w:val="000000"/>
              </w:rPr>
            </w:pPr>
            <w:r>
              <w:rPr>
                <w:color w:val="000000"/>
              </w:rPr>
              <w:t>2,708,374</w:t>
            </w:r>
          </w:p>
        </w:tc>
        <w:tc>
          <w:tcPr>
            <w:tcW w:w="2160"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E3F4914" w14:textId="77777777" w:rsidR="00FF5439" w:rsidRDefault="00FF5439" w:rsidP="00FF5439">
            <w:pPr>
              <w:jc w:val="center"/>
              <w:rPr>
                <w:color w:val="000000"/>
              </w:rPr>
            </w:pPr>
            <w:r>
              <w:rPr>
                <w:color w:val="000000"/>
              </w:rPr>
              <w:t>1,174,383</w:t>
            </w:r>
          </w:p>
        </w:tc>
      </w:tr>
      <w:tr w:rsidR="00FF5439" w14:paraId="7BB662FA" w14:textId="77777777" w:rsidTr="00520D5A">
        <w:trPr>
          <w:trHeight w:val="300"/>
        </w:trPr>
        <w:tc>
          <w:tcPr>
            <w:tcW w:w="2180" w:type="dxa"/>
            <w:tcBorders>
              <w:top w:val="nil"/>
              <w:left w:val="single" w:sz="8" w:space="0" w:color="auto"/>
              <w:bottom w:val="single" w:sz="8" w:space="0" w:color="auto"/>
              <w:right w:val="single" w:sz="8" w:space="0" w:color="auto"/>
            </w:tcBorders>
            <w:shd w:val="clear" w:color="auto" w:fill="D9D9D9"/>
            <w:noWrap/>
            <w:tcMar>
              <w:top w:w="15" w:type="dxa"/>
              <w:left w:w="108" w:type="dxa"/>
              <w:bottom w:w="15" w:type="dxa"/>
              <w:right w:w="108" w:type="dxa"/>
            </w:tcMar>
            <w:vAlign w:val="bottom"/>
            <w:hideMark/>
          </w:tcPr>
          <w:p w14:paraId="7B2AB1A1" w14:textId="6DC629D5" w:rsidR="00FF5439" w:rsidRDefault="00FF5439" w:rsidP="00FF5439">
            <w:pPr>
              <w:rPr>
                <w:b/>
                <w:bCs/>
                <w:color w:val="000000"/>
              </w:rPr>
            </w:pPr>
            <w:r w:rsidRPr="00FF5439">
              <w:rPr>
                <w:b/>
                <w:bCs/>
                <w:color w:val="000000"/>
              </w:rPr>
              <w:t xml:space="preserve">Number </w:t>
            </w:r>
            <w:proofErr w:type="spellStart"/>
            <w:r w:rsidRPr="00FF5439">
              <w:rPr>
                <w:b/>
                <w:bCs/>
                <w:color w:val="000000"/>
              </w:rPr>
              <w:t>of</w:t>
            </w:r>
            <w:proofErr w:type="spellEnd"/>
            <w:r w:rsidRPr="00FF5439">
              <w:rPr>
                <w:b/>
                <w:bCs/>
                <w:color w:val="000000"/>
              </w:rPr>
              <w:t xml:space="preserve"> </w:t>
            </w:r>
            <w:proofErr w:type="spellStart"/>
            <w:r w:rsidRPr="00FF5439">
              <w:rPr>
                <w:b/>
                <w:bCs/>
                <w:color w:val="000000"/>
              </w:rPr>
              <w:t>ratings</w:t>
            </w:r>
            <w:proofErr w:type="spellEnd"/>
          </w:p>
        </w:tc>
        <w:tc>
          <w:tcPr>
            <w:tcW w:w="216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2FED73FC" w14:textId="77777777" w:rsidR="00FF5439" w:rsidRDefault="00FF5439" w:rsidP="00FF5439">
            <w:pPr>
              <w:jc w:val="center"/>
              <w:rPr>
                <w:b/>
                <w:bCs/>
                <w:color w:val="000000"/>
              </w:rPr>
            </w:pPr>
            <w:r>
              <w:rPr>
                <w:b/>
                <w:bCs/>
                <w:color w:val="000000"/>
              </w:rPr>
              <w:t>856,084</w:t>
            </w:r>
          </w:p>
        </w:tc>
        <w:tc>
          <w:tcPr>
            <w:tcW w:w="190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4387662F" w14:textId="77777777" w:rsidR="00FF5439" w:rsidRDefault="00FF5439" w:rsidP="00FF5439">
            <w:pPr>
              <w:jc w:val="center"/>
              <w:rPr>
                <w:b/>
                <w:bCs/>
                <w:color w:val="000000"/>
              </w:rPr>
            </w:pPr>
            <w:r>
              <w:rPr>
                <w:b/>
                <w:bCs/>
                <w:color w:val="000000"/>
              </w:rPr>
              <w:t>3,405,815</w:t>
            </w:r>
          </w:p>
        </w:tc>
        <w:tc>
          <w:tcPr>
            <w:tcW w:w="216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3C67F889" w14:textId="77777777" w:rsidR="00FF5439" w:rsidRDefault="00FF5439" w:rsidP="00FF5439">
            <w:pPr>
              <w:jc w:val="center"/>
              <w:rPr>
                <w:b/>
                <w:bCs/>
                <w:color w:val="000000"/>
              </w:rPr>
            </w:pPr>
            <w:r>
              <w:rPr>
                <w:b/>
                <w:bCs/>
                <w:color w:val="000000"/>
              </w:rPr>
              <w:t>906,667</w:t>
            </w:r>
          </w:p>
        </w:tc>
      </w:tr>
      <w:tr w:rsidR="00FF5439" w14:paraId="16DADDF8" w14:textId="77777777" w:rsidTr="00FF5439">
        <w:trPr>
          <w:trHeight w:val="300"/>
        </w:trPr>
        <w:tc>
          <w:tcPr>
            <w:tcW w:w="2180" w:type="dxa"/>
            <w:tcBorders>
              <w:top w:val="nil"/>
              <w:left w:val="single" w:sz="8" w:space="0" w:color="auto"/>
              <w:bottom w:val="single" w:sz="8" w:space="0" w:color="auto"/>
              <w:right w:val="single" w:sz="8" w:space="0" w:color="auto"/>
            </w:tcBorders>
            <w:shd w:val="clear" w:color="auto" w:fill="D9D9D9"/>
            <w:noWrap/>
            <w:tcMar>
              <w:top w:w="15" w:type="dxa"/>
              <w:left w:w="108" w:type="dxa"/>
              <w:bottom w:w="15" w:type="dxa"/>
              <w:right w:w="108" w:type="dxa"/>
            </w:tcMar>
            <w:vAlign w:val="bottom"/>
            <w:hideMark/>
          </w:tcPr>
          <w:p w14:paraId="6ACA7EF5" w14:textId="45EEBEB8" w:rsidR="00FF5439" w:rsidRDefault="00FF5439" w:rsidP="00520D5A">
            <w:pPr>
              <w:rPr>
                <w:b/>
                <w:bCs/>
                <w:color w:val="000000"/>
              </w:rPr>
            </w:pPr>
            <w:r w:rsidRPr="00FF5439">
              <w:rPr>
                <w:b/>
                <w:bCs/>
                <w:color w:val="000000"/>
              </w:rPr>
              <w:t>Response Rate (RR)</w:t>
            </w:r>
          </w:p>
        </w:tc>
        <w:tc>
          <w:tcPr>
            <w:tcW w:w="216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75756E98" w14:textId="77777777" w:rsidR="00FF5439" w:rsidRDefault="00FF5439" w:rsidP="00520D5A">
            <w:pPr>
              <w:jc w:val="center"/>
              <w:rPr>
                <w:b/>
                <w:bCs/>
                <w:color w:val="000000"/>
              </w:rPr>
            </w:pPr>
            <w:r>
              <w:rPr>
                <w:b/>
                <w:bCs/>
                <w:color w:val="000000"/>
              </w:rPr>
              <w:t>17.34%</w:t>
            </w:r>
          </w:p>
        </w:tc>
        <w:tc>
          <w:tcPr>
            <w:tcW w:w="190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3520A525" w14:textId="77777777" w:rsidR="00FF5439" w:rsidRDefault="00FF5439" w:rsidP="00520D5A">
            <w:pPr>
              <w:jc w:val="center"/>
              <w:rPr>
                <w:b/>
                <w:bCs/>
                <w:color w:val="000000"/>
              </w:rPr>
            </w:pPr>
            <w:r>
              <w:rPr>
                <w:b/>
                <w:bCs/>
                <w:color w:val="000000"/>
              </w:rPr>
              <w:t>30.33%</w:t>
            </w:r>
          </w:p>
        </w:tc>
        <w:tc>
          <w:tcPr>
            <w:tcW w:w="2160" w:type="dxa"/>
            <w:tcBorders>
              <w:top w:val="nil"/>
              <w:left w:val="nil"/>
              <w:bottom w:val="single" w:sz="8" w:space="0" w:color="auto"/>
              <w:right w:val="single" w:sz="8" w:space="0" w:color="auto"/>
            </w:tcBorders>
            <w:shd w:val="clear" w:color="auto" w:fill="D9D9D9"/>
            <w:noWrap/>
            <w:tcMar>
              <w:top w:w="15" w:type="dxa"/>
              <w:left w:w="108" w:type="dxa"/>
              <w:bottom w:w="15" w:type="dxa"/>
              <w:right w:w="108" w:type="dxa"/>
            </w:tcMar>
            <w:vAlign w:val="center"/>
            <w:hideMark/>
          </w:tcPr>
          <w:p w14:paraId="406C53E2" w14:textId="77777777" w:rsidR="00FF5439" w:rsidRDefault="00FF5439" w:rsidP="00520D5A">
            <w:pPr>
              <w:jc w:val="center"/>
              <w:rPr>
                <w:b/>
                <w:bCs/>
                <w:color w:val="000000"/>
              </w:rPr>
            </w:pPr>
            <w:r>
              <w:rPr>
                <w:b/>
                <w:bCs/>
                <w:color w:val="000000"/>
              </w:rPr>
              <w:t>31.82%</w:t>
            </w:r>
          </w:p>
        </w:tc>
      </w:tr>
    </w:tbl>
    <w:p w14:paraId="739A24F5" w14:textId="77777777" w:rsidR="0086051B" w:rsidRDefault="0086051B"/>
    <w:sectPr w:rsidR="00860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48"/>
    <w:rsid w:val="00627248"/>
    <w:rsid w:val="0086051B"/>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8E6A"/>
  <w15:chartTrackingRefBased/>
  <w15:docId w15:val="{DFC9C1F5-7AD0-4747-A6F7-190BE9BB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2AC0-67D1-44E3-9BCD-5F89FF4E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585</Characters>
  <Application>Microsoft Office Word</Application>
  <DocSecurity>0</DocSecurity>
  <Lines>4</Lines>
  <Paragraphs>1</Paragraphs>
  <ScaleCrop>false</ScaleCrop>
  <Company>BCC</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Хвостова Ирина Евгеньевна</dc:creator>
  <cp:keywords/>
  <dc:description/>
  <cp:lastModifiedBy>Хвостова Ирина Евгеньевна</cp:lastModifiedBy>
  <cp:revision>3</cp:revision>
  <dcterms:created xsi:type="dcterms:W3CDTF">2025-07-09T12:47:00Z</dcterms:created>
  <dcterms:modified xsi:type="dcterms:W3CDTF">2025-07-09T12:50:00Z</dcterms:modified>
</cp:coreProperties>
</file>